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D8" w:rsidRPr="00430156" w:rsidRDefault="009E67D8" w:rsidP="009E67D8">
      <w:pPr>
        <w:ind w:left="-993"/>
        <w:rPr>
          <w:rFonts w:ascii="Arial" w:hAnsi="Arial" w:cs="Arial"/>
          <w:sz w:val="16"/>
          <w:szCs w:val="16"/>
        </w:rPr>
      </w:pPr>
      <w:r w:rsidRPr="00430156">
        <w:rPr>
          <w:rFonts w:ascii="Arial" w:hAnsi="Arial" w:cs="Arial"/>
          <w:sz w:val="16"/>
          <w:szCs w:val="16"/>
        </w:rPr>
        <w:t xml:space="preserve">Modulübersicht: Evangelische Theologie – Module des Studiengangs </w:t>
      </w:r>
      <w:r w:rsidRPr="00AA5549">
        <w:rPr>
          <w:rFonts w:ascii="Arial" w:hAnsi="Arial" w:cs="Arial"/>
          <w:b/>
          <w:sz w:val="16"/>
          <w:szCs w:val="16"/>
        </w:rPr>
        <w:t>Lehramt an Gymnasien</w:t>
      </w:r>
      <w:r w:rsidRPr="0043015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30156">
        <w:rPr>
          <w:rFonts w:ascii="Arial" w:hAnsi="Arial" w:cs="Arial"/>
          <w:sz w:val="16"/>
          <w:szCs w:val="16"/>
        </w:rPr>
        <w:t>GyER</w:t>
      </w:r>
      <w:proofErr w:type="spellEnd"/>
      <w:r w:rsidRPr="00430156">
        <w:rPr>
          <w:rFonts w:ascii="Arial" w:hAnsi="Arial" w:cs="Arial"/>
          <w:sz w:val="16"/>
          <w:szCs w:val="16"/>
        </w:rPr>
        <w:t>, insgesamt 107 LP)</w:t>
      </w:r>
    </w:p>
    <w:tbl>
      <w:tblPr>
        <w:tblStyle w:val="Tabellenraster"/>
        <w:tblW w:w="5649" w:type="pct"/>
        <w:tblInd w:w="-885" w:type="dxa"/>
        <w:tblLook w:val="04A0" w:firstRow="1" w:lastRow="0" w:firstColumn="1" w:lastColumn="0" w:noHBand="0" w:noVBand="1"/>
      </w:tblPr>
      <w:tblGrid>
        <w:gridCol w:w="10238"/>
      </w:tblGrid>
      <w:tr w:rsidR="009E67D8" w:rsidRPr="00430156" w:rsidTr="00B3665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Evangelische Theologie im Studiengang Lehramt Gymnasium</w:t>
            </w:r>
          </w:p>
        </w:tc>
      </w:tr>
    </w:tbl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936"/>
        <w:gridCol w:w="217"/>
        <w:gridCol w:w="1306"/>
        <w:gridCol w:w="970"/>
        <w:gridCol w:w="416"/>
        <w:gridCol w:w="564"/>
        <w:gridCol w:w="4149"/>
        <w:gridCol w:w="890"/>
        <w:gridCol w:w="801"/>
      </w:tblGrid>
      <w:tr w:rsidR="009E67D8" w:rsidRPr="00430156" w:rsidTr="00B3665F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  <w:r>
              <w:rPr>
                <w:rFonts w:ascii="Arial" w:hAnsi="Arial" w:cs="Arial"/>
                <w:sz w:val="12"/>
                <w:szCs w:val="12"/>
              </w:rPr>
              <w:br/>
              <w:t>ab WS 12/13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392" w:type="pct"/>
            <w:tcBorders>
              <w:bottom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</w:tr>
      <w:tr w:rsidR="009E67D8" w:rsidRPr="00430156" w:rsidTr="00B3665F"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Fachwissen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schaft</w:t>
            </w:r>
          </w:p>
        </w:tc>
      </w:tr>
      <w:tr w:rsidR="009E67D8" w:rsidRPr="00430156" w:rsidTr="00B3665F">
        <w:trPr>
          <w:trHeight w:val="1006"/>
        </w:trPr>
        <w:tc>
          <w:tcPr>
            <w:tcW w:w="4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Grundkurs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GK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 xml:space="preserve">Einführung </w:t>
            </w:r>
            <w:r w:rsidRPr="00B73DE1">
              <w:rPr>
                <w:rFonts w:ascii="Arial" w:hAnsi="Arial" w:cs="Arial"/>
                <w:bCs/>
                <w:color w:val="0070C0"/>
                <w:sz w:val="12"/>
                <w:szCs w:val="12"/>
              </w:rPr>
              <w:t>in das Studium der Evangelischen Theologie und ins wissenschaftliche Arbeiten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GyER-05-FW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3F7785">
              <w:rPr>
                <w:rFonts w:ascii="Arial" w:hAnsi="Arial" w:cs="Arial"/>
                <w:b/>
                <w:bCs/>
                <w:sz w:val="12"/>
                <w:szCs w:val="12"/>
              </w:rPr>
              <w:t>ETH-0002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9E67D8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Blockveranstaltung in der Woche vor Semesterbeginn </w:t>
            </w:r>
          </w:p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(wird nur im Wintersemester angeboten)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7D37E9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Grundkurs</w:t>
            </w:r>
          </w:p>
        </w:tc>
      </w:tr>
      <w:tr w:rsidR="009E67D8" w:rsidRPr="00430156" w:rsidTr="00B3665F">
        <w:trPr>
          <w:trHeight w:val="1404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Die Bibel und ihre Zeit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GyER-01-FW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3F7785">
              <w:rPr>
                <w:rFonts w:ascii="Arial" w:hAnsi="Arial" w:cs="Arial"/>
                <w:b/>
                <w:sz w:val="12"/>
                <w:szCs w:val="12"/>
              </w:rPr>
              <w:t>ETH</w:t>
            </w:r>
            <w:r>
              <w:rPr>
                <w:rFonts w:ascii="Arial" w:hAnsi="Arial" w:cs="Arial"/>
                <w:b/>
                <w:sz w:val="12"/>
                <w:szCs w:val="12"/>
              </w:rPr>
              <w:t>-0003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9E67D8" w:rsidRPr="00430156" w:rsidTr="00B3665F">
        <w:trPr>
          <w:trHeight w:val="98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Die Bibel und ihre wissenschaftliche Auslegung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GyER-02-FW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3F7785">
              <w:rPr>
                <w:rFonts w:ascii="Arial" w:hAnsi="Arial" w:cs="Arial"/>
                <w:b/>
                <w:sz w:val="12"/>
                <w:szCs w:val="12"/>
              </w:rPr>
              <w:t xml:space="preserve"> ETH</w:t>
            </w:r>
            <w:r>
              <w:rPr>
                <w:rFonts w:ascii="Arial" w:hAnsi="Arial" w:cs="Arial"/>
                <w:b/>
                <w:sz w:val="12"/>
                <w:szCs w:val="12"/>
              </w:rPr>
              <w:t>-0004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19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291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mit Griechisch </w:t>
                  </w:r>
                </w:p>
              </w:tc>
            </w:tr>
            <w:tr w:rsidR="009E67D8" w:rsidRPr="00430156" w:rsidTr="00B3665F">
              <w:trPr>
                <w:trHeight w:val="299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Begleitende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9E67D8" w:rsidRPr="00430156" w:rsidTr="00B3665F">
        <w:trPr>
          <w:trHeight w:val="1212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Einführung in die Systematische Theologie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GyER-03-FW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3F778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ETH-0005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24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9E67D8" w:rsidRPr="00430156" w:rsidTr="00B3665F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9E67D8" w:rsidRPr="00430156" w:rsidTr="00B3665F">
        <w:trPr>
          <w:trHeight w:val="1698"/>
        </w:trPr>
        <w:tc>
          <w:tcPr>
            <w:tcW w:w="457" w:type="pct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IV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Einführung in die Kirchengeschichte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GyER-04-FW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Default="009E67D8" w:rsidP="00B3665F"/>
          <w:tbl>
            <w:tblPr>
              <w:tblStyle w:val="Tabellenraster"/>
              <w:tblpPr w:leftFromText="142" w:rightFromText="142" w:vertAnchor="page" w:horzAnchor="margin" w:tblpY="3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430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Grundzüge und wichtige Epochen der Kirchen- und Dogmengeschichte</w:t>
                  </w:r>
                </w:p>
              </w:tc>
            </w:tr>
            <w:tr w:rsidR="009E67D8" w:rsidRPr="00430156" w:rsidTr="00B3665F">
              <w:trPr>
                <w:trHeight w:val="446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Konfessionskunde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9E67D8" w:rsidRPr="00430156" w:rsidTr="00B3665F"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Texte und Themen des Alten Testaments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GyER-11-FW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279"/>
              </w:trPr>
              <w:tc>
                <w:tcPr>
                  <w:tcW w:w="5000" w:type="pct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Themenschwerpunkte aus dem Modul (nach freier Wahl)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  <w:r w:rsidR="007D37E9">
              <w:rPr>
                <w:rFonts w:ascii="Arial" w:hAnsi="Arial" w:cs="Arial"/>
                <w:sz w:val="12"/>
                <w:szCs w:val="12"/>
              </w:rPr>
              <w:t xml:space="preserve"> oder 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9E67D8" w:rsidRPr="00430156" w:rsidTr="00B3665F">
        <w:trPr>
          <w:trHeight w:val="110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Themenfelder der Systematischen Theologie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GyER-12-FW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1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9E67D8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9E67D8" w:rsidRPr="00430156" w:rsidTr="00B3665F">
        <w:trPr>
          <w:trHeight w:val="113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III </w:t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Religionswissenschaft und Weltreligionen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GyER-13-FW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page" w:tblpX="119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344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Religionstheorie</w:t>
                  </w:r>
                </w:p>
              </w:tc>
            </w:tr>
            <w:tr w:rsidR="009E67D8" w:rsidRPr="00430156" w:rsidTr="00B3665F">
              <w:trPr>
                <w:trHeight w:val="373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Weltreligionen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Mündliche Prüfung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9E67D8" w:rsidRPr="00430156" w:rsidTr="00B3665F"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IV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Texte und Themen des Neuen Testaments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GyER-14-FW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269"/>
              </w:trPr>
              <w:tc>
                <w:tcPr>
                  <w:tcW w:w="5000" w:type="pct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Themenschwerpunkte aus dem Modul (nach freier Wahl)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Seminar, Exkursion </w:t>
            </w:r>
          </w:p>
        </w:tc>
      </w:tr>
      <w:tr w:rsidR="009E67D8" w:rsidRPr="00430156" w:rsidTr="00B3665F">
        <w:trPr>
          <w:trHeight w:val="2403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V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proofErr w:type="spellStart"/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Konkretionen</w:t>
            </w:r>
            <w:proofErr w:type="spellEnd"/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 xml:space="preserve"> christlicher Existenz in Geschichte und Gegenwart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GyER-15-FW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22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Systematische Theologie im Kontext I: Dogmatik/Ökumene/moderne Kultur/interdisziplinär</w:t>
                  </w:r>
                </w:p>
              </w:tc>
            </w:tr>
            <w:tr w:rsidR="009E67D8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Systematische Theologie im Kontext II: Ethik/Hermeneutik/moderne Kultur/interdisziplinär</w:t>
                  </w:r>
                </w:p>
              </w:tc>
            </w:tr>
            <w:tr w:rsidR="009E67D8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3. Exemplarische Themen und Epochen der </w:t>
                  </w:r>
                  <w:proofErr w:type="spell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Christentumsgeschichte</w:t>
                  </w:r>
                  <w:proofErr w:type="spellEnd"/>
                </w:p>
              </w:tc>
            </w:tr>
            <w:tr w:rsidR="009E67D8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4. Religionsphilosophische und –wissenschaftliche Problemstellungen der Gegenwart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9E67D8" w:rsidRPr="00430156" w:rsidTr="00B3665F">
        <w:trPr>
          <w:trHeight w:val="83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VI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Grundlagen der Religionspädagogik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GyER-16-FW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0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c>
                <w:tcPr>
                  <w:tcW w:w="5000" w:type="pct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Themenschwerpunkte aus dem Modul (nach freier Wahl)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Klausur, 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9E67D8" w:rsidRPr="00430156" w:rsidTr="00B3665F">
        <w:trPr>
          <w:trHeight w:val="1630"/>
        </w:trPr>
        <w:tc>
          <w:tcPr>
            <w:tcW w:w="457" w:type="pct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Vertiefungs-module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C 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Texte und Themen der Biblischen und Systematischen Theologie 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GyER-21-FW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der biblischen Theologie, Texte und Themen der systematischen Theologie / Kirchengeschichte und Religionswissenschaft, Aktuelle Forschungsfelder der Bibelwissenschaft, Aktuelle Forschungsfelder der systematischen Theologie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9E67D8" w:rsidRPr="00430156" w:rsidTr="00B3665F">
        <w:tc>
          <w:tcPr>
            <w:tcW w:w="457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C 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Texte und Themen der Biblischen und Systematischen Theologie II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GyER-22-FW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page" w:tblpX="119" w:tblpY="16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der biblischen Theologie, Texte und Themen der systematischen Theologie / Kirchengeschichte und Religionswissenschaft, Aktuelle Forschungsfelder der Bibelwissenschaft, Aktuelle Forschungsfelder der systematischen Theologie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9E67D8" w:rsidRPr="00430156" w:rsidTr="00B3665F">
        <w:trPr>
          <w:trHeight w:val="9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*In den Wahlpflichtmodulen C I und C II müssen je drei Veranstaltungen besucht werden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430156">
              <w:rPr>
                <w:rFonts w:ascii="Arial" w:hAnsi="Arial" w:cs="Arial"/>
                <w:sz w:val="12"/>
                <w:szCs w:val="12"/>
              </w:rPr>
              <w:t>Die Veranstaltungen können frei gewählt werden aus allen vier Teilbereichen. Die Mehrfachbelegung eines Teilbereichs ist möglich</w:t>
            </w:r>
            <w:r>
              <w:rPr>
                <w:rFonts w:ascii="Arial" w:hAnsi="Arial" w:cs="Arial"/>
                <w:sz w:val="12"/>
                <w:szCs w:val="12"/>
              </w:rPr>
              <w:t>. Mindestens eine Veranstaltung muss ein Seminar sein.)</w:t>
            </w:r>
          </w:p>
        </w:tc>
      </w:tr>
      <w:tr w:rsidR="009E67D8" w:rsidRPr="00430156" w:rsidTr="00B3665F">
        <w:tc>
          <w:tcPr>
            <w:tcW w:w="563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Fachdidaktik</w:t>
            </w:r>
          </w:p>
        </w:tc>
        <w:tc>
          <w:tcPr>
            <w:tcW w:w="636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E67D8" w:rsidRPr="00430156" w:rsidTr="00B3665F">
        <w:trPr>
          <w:trHeight w:val="1541"/>
        </w:trPr>
        <w:tc>
          <w:tcPr>
            <w:tcW w:w="563" w:type="pct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Grundlagen der Religionsdidaktik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GyER-01-DID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9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:rsidR="009E67D8" w:rsidRDefault="009E67D8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:rsidR="009E67D8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</w:p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:rsidR="009E67D8" w:rsidRPr="00430156" w:rsidRDefault="009E67D8" w:rsidP="00B3665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Themenschwerpunkte aus dem Modul (nach freier Wahl))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9E67D8" w:rsidRPr="00430156" w:rsidTr="00B3665F">
        <w:trPr>
          <w:trHeight w:val="1701"/>
        </w:trPr>
        <w:tc>
          <w:tcPr>
            <w:tcW w:w="563" w:type="pct"/>
            <w:gridSpan w:val="2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Aufbaumodul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>Religionsun</w:t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terricht in Theorie und Praxis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B73DE1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B73DE1">
              <w:rPr>
                <w:rFonts w:ascii="Arial" w:hAnsi="Arial" w:cs="Arial"/>
                <w:sz w:val="12"/>
                <w:szCs w:val="12"/>
              </w:rPr>
              <w:t>GyER-11-DID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27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9E67D8" w:rsidRPr="00430156" w:rsidTr="00B3665F">
              <w:trPr>
                <w:trHeight w:val="1162"/>
              </w:trPr>
              <w:tc>
                <w:tcPr>
                  <w:tcW w:w="5000" w:type="pct"/>
                  <w:vAlign w:val="center"/>
                </w:tcPr>
                <w:p w:rsidR="009E67D8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ionsunterrichts</w:t>
                  </w:r>
                </w:p>
                <w:p w:rsidR="009E67D8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 religiöser Bildung</w:t>
                  </w:r>
                </w:p>
                <w:p w:rsidR="009E67D8" w:rsidRPr="00430156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  <w:p w:rsidR="009E67D8" w:rsidRPr="00430156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 Themenschwerpunkte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8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Seminar </w:t>
            </w:r>
          </w:p>
        </w:tc>
      </w:tr>
      <w:tr w:rsidR="009E67D8" w:rsidRPr="00430156" w:rsidTr="00B3665F">
        <w:trPr>
          <w:trHeight w:val="683"/>
        </w:trPr>
        <w:tc>
          <w:tcPr>
            <w:tcW w:w="563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Studienbegleiten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des Praktikum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 xml:space="preserve">(+ Begleitseminar: Fachdidaktische </w:t>
            </w:r>
            <w:proofErr w:type="spellStart"/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Schlüsselqualifi</w:t>
            </w:r>
            <w:proofErr w:type="spellEnd"/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-kation)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GyER-12-DID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(5*)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(wird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i.d.R. 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>nur im Wintersemester angeboten)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Bericht/ Didaktische Analyse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392" w:type="pct"/>
            <w:tcBorders>
              <w:left w:val="single" w:sz="8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9E67D8" w:rsidRPr="00430156" w:rsidTr="00B3665F">
        <w:trPr>
          <w:trHeight w:val="581"/>
        </w:trPr>
        <w:tc>
          <w:tcPr>
            <w:tcW w:w="5000" w:type="pct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 Die 5 LP des Praxismoduls werden zu den 35 Punkten des erziehungswissenschaftlichen Studiums gezählt.</w:t>
            </w:r>
            <w:r w:rsidR="007D37E9">
              <w:rPr>
                <w:rFonts w:ascii="Arial" w:hAnsi="Arial" w:cs="Arial"/>
                <w:sz w:val="12"/>
                <w:szCs w:val="12"/>
              </w:rPr>
              <w:t xml:space="preserve"> Wird das zusätzliche studienbegleitende Praktikum (mit Begleitseminar) im Fach Evangelische Religionslehre absolviert, so ermöglicht </w:t>
            </w:r>
            <w:proofErr w:type="spellStart"/>
            <w:r w:rsidR="007D37E9">
              <w:rPr>
                <w:rFonts w:ascii="Arial" w:hAnsi="Arial" w:cs="Arial"/>
                <w:sz w:val="12"/>
                <w:szCs w:val="12"/>
              </w:rPr>
              <w:t>ies</w:t>
            </w:r>
            <w:proofErr w:type="spellEnd"/>
            <w:r w:rsidR="007D37E9">
              <w:rPr>
                <w:rFonts w:ascii="Arial" w:hAnsi="Arial" w:cs="Arial"/>
                <w:sz w:val="12"/>
                <w:szCs w:val="12"/>
              </w:rPr>
              <w:t xml:space="preserve"> den Erwerb der Voraussetzung für die vorläufige </w:t>
            </w:r>
            <w:proofErr w:type="spellStart"/>
            <w:r w:rsidR="007D37E9">
              <w:rPr>
                <w:rFonts w:ascii="Arial" w:hAnsi="Arial" w:cs="Arial"/>
                <w:sz w:val="12"/>
                <w:szCs w:val="12"/>
              </w:rPr>
              <w:t>Vocatio</w:t>
            </w:r>
            <w:proofErr w:type="spellEnd"/>
            <w:r w:rsidR="007D37E9">
              <w:rPr>
                <w:rFonts w:ascii="Arial" w:hAnsi="Arial" w:cs="Arial"/>
                <w:sz w:val="12"/>
                <w:szCs w:val="12"/>
              </w:rPr>
              <w:t xml:space="preserve"> (Voraussetzung für die Aufnahme in den schulischen Vorbereitungsdienst).</w:t>
            </w: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532"/>
        <w:gridCol w:w="899"/>
        <w:gridCol w:w="5631"/>
      </w:tblGrid>
      <w:tr w:rsidR="009E67D8" w:rsidRPr="00430156" w:rsidTr="00B3665F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             107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9E67D8" w:rsidRDefault="009E67D8" w:rsidP="009E67D8"/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1146"/>
        <w:gridCol w:w="1339"/>
        <w:gridCol w:w="921"/>
        <w:gridCol w:w="414"/>
        <w:gridCol w:w="561"/>
        <w:gridCol w:w="4126"/>
        <w:gridCol w:w="885"/>
        <w:gridCol w:w="801"/>
      </w:tblGrid>
      <w:tr w:rsidR="00000683" w:rsidRPr="00000683" w:rsidTr="00B3665F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E67D8" w:rsidRPr="00000683" w:rsidRDefault="009E67D8" w:rsidP="000006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00683">
              <w:rPr>
                <w:rFonts w:ascii="Arial" w:hAnsi="Arial" w:cs="Arial"/>
                <w:b/>
                <w:sz w:val="12"/>
                <w:szCs w:val="12"/>
              </w:rPr>
              <w:lastRenderedPageBreak/>
              <w:t xml:space="preserve">Fakultativer Bereich: </w:t>
            </w:r>
            <w:r w:rsidRPr="00000683">
              <w:rPr>
                <w:rFonts w:ascii="Arial" w:hAnsi="Arial" w:cs="Arial"/>
                <w:sz w:val="12"/>
                <w:szCs w:val="12"/>
              </w:rPr>
              <w:t xml:space="preserve">Der freie Bereich umfasst </w:t>
            </w:r>
            <w:r w:rsidR="00000683" w:rsidRPr="00000683">
              <w:rPr>
                <w:rFonts w:ascii="Arial" w:hAnsi="Arial" w:cs="Arial"/>
                <w:sz w:val="12"/>
                <w:szCs w:val="12"/>
              </w:rPr>
              <w:t xml:space="preserve">im LA Gymnasium insgesamt 5 LP. Diese können im Fach Evangelische Theologie mit dem Modul „Themenfelder Evangelischer Theologie“ abgedeckt werden. Alternativ kann „Griechisch für Theologen“ für den Freien Bereich angerechnet werden. </w:t>
            </w:r>
            <w:r w:rsidRPr="00000683">
              <w:rPr>
                <w:rFonts w:ascii="Arial" w:hAnsi="Arial" w:cs="Arial"/>
                <w:sz w:val="12"/>
                <w:szCs w:val="12"/>
              </w:rPr>
              <w:t>Griechisch aus der Schule kann nicht angerechnet werden.</w:t>
            </w:r>
          </w:p>
        </w:tc>
      </w:tr>
      <w:tr w:rsidR="009E67D8" w:rsidRPr="00430156" w:rsidTr="00B3665F">
        <w:tc>
          <w:tcPr>
            <w:tcW w:w="562" w:type="pc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Freie Module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FB 01 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Griechisch für </w:t>
            </w:r>
            <w:r w:rsidRPr="00B73DE1">
              <w:rPr>
                <w:rFonts w:ascii="Arial" w:hAnsi="Arial" w:cs="Arial"/>
                <w:bCs/>
                <w:color w:val="0070C0"/>
                <w:sz w:val="12"/>
                <w:szCs w:val="12"/>
              </w:rPr>
              <w:t>Theologen</w:t>
            </w:r>
            <w:r w:rsidR="00000683"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 (alternativ)</w:t>
            </w:r>
            <w:bookmarkStart w:id="0" w:name="_GoBack"/>
            <w:bookmarkEnd w:id="0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8" w:rsidRPr="0009145D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FB-Gy-UF-eRe-01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7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00"/>
            </w:tblGrid>
            <w:tr w:rsidR="009E67D8" w:rsidRPr="00430156" w:rsidTr="00B3665F">
              <w:tc>
                <w:tcPr>
                  <w:tcW w:w="5000" w:type="pct"/>
                </w:tcPr>
                <w:p w:rsidR="009E67D8" w:rsidRPr="00430156" w:rsidRDefault="009E67D8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Zweisemestriger Kurs mit anschließender Blockphase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  <w:r>
              <w:rPr>
                <w:rFonts w:ascii="Arial" w:hAnsi="Arial" w:cs="Arial"/>
                <w:sz w:val="12"/>
                <w:szCs w:val="12"/>
              </w:rPr>
              <w:t>, mündliche Prüfung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single" w:sz="8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9E67D8" w:rsidRPr="00430156" w:rsidTr="00B3665F">
        <w:trPr>
          <w:trHeight w:val="1641"/>
        </w:trPr>
        <w:tc>
          <w:tcPr>
            <w:tcW w:w="562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FB 02 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FB-Gy-UF-eRe-02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ETH-0017</w:t>
            </w:r>
          </w:p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00"/>
            </w:tblGrid>
            <w:tr w:rsidR="009E67D8" w:rsidRPr="00430156" w:rsidTr="00B3665F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9E67D8" w:rsidRPr="00430156" w:rsidRDefault="009E67D8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biblischer Theologie, Themenfelder systematischer Theologie, Themenfelder der Religionspädagogik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Bibelwissenschaft, Aktuelle Forschungsfelder der systematischen Theologie, </w:t>
                  </w:r>
                </w:p>
              </w:tc>
            </w:tr>
          </w:tbl>
          <w:p w:rsidR="009E67D8" w:rsidRPr="00430156" w:rsidRDefault="009E67D8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E67D8" w:rsidRPr="00430156" w:rsidRDefault="009E67D8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</w:tbl>
    <w:p w:rsidR="009E67D8" w:rsidRPr="00430156" w:rsidRDefault="009E67D8" w:rsidP="009E67D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**'</w:t>
      </w:r>
      <w:proofErr w:type="spellStart"/>
      <w:r>
        <w:rPr>
          <w:rFonts w:ascii="Arial" w:hAnsi="Arial" w:cs="Arial"/>
          <w:sz w:val="12"/>
          <w:szCs w:val="12"/>
        </w:rPr>
        <w:t>ub</w:t>
      </w:r>
      <w:proofErr w:type="spellEnd"/>
      <w:r>
        <w:rPr>
          <w:rFonts w:ascii="Arial" w:hAnsi="Arial" w:cs="Arial"/>
          <w:sz w:val="12"/>
          <w:szCs w:val="12"/>
        </w:rPr>
        <w:t xml:space="preserve">. = </w:t>
      </w:r>
      <w:proofErr w:type="spellStart"/>
      <w:r>
        <w:rPr>
          <w:rFonts w:ascii="Arial" w:hAnsi="Arial" w:cs="Arial"/>
          <w:sz w:val="12"/>
          <w:szCs w:val="12"/>
        </w:rPr>
        <w:t>unbenotet</w:t>
      </w:r>
      <w:proofErr w:type="spellEnd"/>
      <w:r>
        <w:rPr>
          <w:rFonts w:ascii="Arial" w:hAnsi="Arial" w:cs="Arial"/>
          <w:sz w:val="12"/>
          <w:szCs w:val="12"/>
        </w:rPr>
        <w:t xml:space="preserve">; das </w:t>
      </w:r>
      <w:r w:rsidRPr="0095023A">
        <w:rPr>
          <w:rFonts w:ascii="Arial" w:hAnsi="Arial" w:cs="Arial"/>
          <w:sz w:val="12"/>
          <w:szCs w:val="12"/>
        </w:rPr>
        <w:t>Modulgesamtprüfung wird nicht ben</w:t>
      </w:r>
      <w:r>
        <w:rPr>
          <w:rFonts w:ascii="Arial" w:hAnsi="Arial" w:cs="Arial"/>
          <w:sz w:val="12"/>
          <w:szCs w:val="12"/>
        </w:rPr>
        <w:t xml:space="preserve">otet, muss aber als 'bestanden' </w:t>
      </w:r>
      <w:r w:rsidRPr="0095023A">
        <w:rPr>
          <w:rFonts w:ascii="Arial" w:hAnsi="Arial" w:cs="Arial"/>
          <w:sz w:val="12"/>
          <w:szCs w:val="12"/>
        </w:rPr>
        <w:t>bewertet sein. (Für die (</w:t>
      </w:r>
      <w:proofErr w:type="spellStart"/>
      <w:r w:rsidRPr="0095023A">
        <w:rPr>
          <w:rFonts w:ascii="Arial" w:hAnsi="Arial" w:cs="Arial"/>
          <w:sz w:val="12"/>
          <w:szCs w:val="12"/>
        </w:rPr>
        <w:t>unbenoteten</w:t>
      </w:r>
      <w:proofErr w:type="spellEnd"/>
      <w:r w:rsidRPr="0095023A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 xml:space="preserve"> Module im Freien Bereich gilt: </w:t>
      </w:r>
      <w:r w:rsidRPr="0095023A">
        <w:rPr>
          <w:rFonts w:ascii="Arial" w:hAnsi="Arial" w:cs="Arial"/>
          <w:sz w:val="12"/>
          <w:szCs w:val="12"/>
        </w:rPr>
        <w:t>Bei Studiengangwechsel etc. ist nach</w:t>
      </w:r>
      <w:r>
        <w:rPr>
          <w:rFonts w:ascii="Arial" w:hAnsi="Arial" w:cs="Arial"/>
          <w:sz w:val="12"/>
          <w:szCs w:val="12"/>
        </w:rPr>
        <w:t xml:space="preserve"> Absprache mit den </w:t>
      </w:r>
      <w:proofErr w:type="spellStart"/>
      <w:r>
        <w:rPr>
          <w:rFonts w:ascii="Arial" w:hAnsi="Arial" w:cs="Arial"/>
          <w:sz w:val="12"/>
          <w:szCs w:val="12"/>
        </w:rPr>
        <w:t>DozentInnen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r w:rsidRPr="0095023A">
        <w:rPr>
          <w:rFonts w:ascii="Arial" w:hAnsi="Arial" w:cs="Arial"/>
          <w:sz w:val="12"/>
          <w:szCs w:val="12"/>
        </w:rPr>
        <w:t>eine Benotung möglich.)'</w:t>
      </w:r>
    </w:p>
    <w:p w:rsidR="00C01415" w:rsidRDefault="00C01415"/>
    <w:sectPr w:rsidR="00C01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D8"/>
    <w:rsid w:val="00000683"/>
    <w:rsid w:val="007D099D"/>
    <w:rsid w:val="007D37E9"/>
    <w:rsid w:val="009E67D8"/>
    <w:rsid w:val="00B45EA2"/>
    <w:rsid w:val="00C01415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7536-5C4B-4B30-8E83-3C8E278E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7D8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7D8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Richter</dc:creator>
  <cp:keywords/>
  <dc:description/>
  <cp:lastModifiedBy>mawe</cp:lastModifiedBy>
  <cp:revision>3</cp:revision>
  <dcterms:created xsi:type="dcterms:W3CDTF">2016-02-21T18:01:00Z</dcterms:created>
  <dcterms:modified xsi:type="dcterms:W3CDTF">2016-02-29T08:32:00Z</dcterms:modified>
</cp:coreProperties>
</file>